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2A" w:rsidRDefault="00DF446E" w:rsidP="00507408">
      <w:pPr>
        <w:spacing w:line="240" w:lineRule="auto"/>
      </w:pPr>
      <w:r>
        <w:t>Greenways: The Interconnected Pathways of Communication and the Environment</w:t>
      </w:r>
    </w:p>
    <w:p w:rsidR="00483B2A" w:rsidRDefault="002753A2" w:rsidP="00507408">
      <w:pPr>
        <w:spacing w:line="240" w:lineRule="auto"/>
      </w:pPr>
      <w:r>
        <w:t>A NEXUS Interdisciplinary Conference</w:t>
      </w:r>
    </w:p>
    <w:p w:rsidR="00483B2A" w:rsidRDefault="002753A2" w:rsidP="00507408">
      <w:pPr>
        <w:spacing w:line="240" w:lineRule="auto"/>
      </w:pPr>
      <w:r>
        <w:t>University of Tennessee-Knoxville</w:t>
      </w:r>
    </w:p>
    <w:p w:rsidR="00483B2A" w:rsidRDefault="00DF446E" w:rsidP="00507408">
      <w:pPr>
        <w:spacing w:line="240" w:lineRule="auto"/>
      </w:pPr>
      <w:r>
        <w:t xml:space="preserve">Thursday, </w:t>
      </w:r>
      <w:r w:rsidR="00901FCD">
        <w:t>March 6- Saturday, March 8, 2014</w:t>
      </w:r>
    </w:p>
    <w:p w:rsidR="00507408" w:rsidRDefault="00507408" w:rsidP="00507408">
      <w:pPr>
        <w:spacing w:line="240" w:lineRule="auto"/>
      </w:pPr>
      <w:r>
        <w:t xml:space="preserve">Plenary Speakers: Sandra </w:t>
      </w:r>
      <w:proofErr w:type="spellStart"/>
      <w:r>
        <w:t>Alcosser</w:t>
      </w:r>
      <w:proofErr w:type="spellEnd"/>
      <w:r>
        <w:t xml:space="preserve"> (San Diego State University), Mark </w:t>
      </w:r>
      <w:proofErr w:type="spellStart"/>
      <w:r>
        <w:t>Pedelty</w:t>
      </w:r>
      <w:proofErr w:type="spellEnd"/>
      <w:r>
        <w:t xml:space="preserve"> (University of Minnesota), and Jennifer </w:t>
      </w:r>
      <w:proofErr w:type="spellStart"/>
      <w:r>
        <w:t>Peeples</w:t>
      </w:r>
      <w:proofErr w:type="spellEnd"/>
      <w:r>
        <w:t xml:space="preserve"> (Utah State</w:t>
      </w:r>
      <w:r w:rsidRPr="00507408">
        <w:t xml:space="preserve"> </w:t>
      </w:r>
      <w:r>
        <w:t>University)</w:t>
      </w:r>
    </w:p>
    <w:p w:rsidR="00DF446E" w:rsidRPr="00CD5C1B" w:rsidRDefault="00CD5C1B">
      <w:pPr>
        <w:spacing w:line="100" w:lineRule="atLeast"/>
        <w:rPr>
          <w:szCs w:val="24"/>
        </w:rPr>
      </w:pPr>
      <w:r>
        <w:rPr>
          <w:szCs w:val="24"/>
        </w:rPr>
        <w:t xml:space="preserve">Following the natural contours of the landscape, greenways are man-made paths that work to link human communities to </w:t>
      </w:r>
      <w:r w:rsidR="00AC16FB">
        <w:rPr>
          <w:szCs w:val="24"/>
        </w:rPr>
        <w:t xml:space="preserve">the surrounding environment. In the same way, this conference seeks to promote connectivity between various disciplines and their approaches to the environment. </w:t>
      </w:r>
      <w:r w:rsidR="00DF446E" w:rsidRPr="00CD5C1B">
        <w:rPr>
          <w:szCs w:val="24"/>
        </w:rPr>
        <w:t xml:space="preserve">Recent conversations about </w:t>
      </w:r>
      <w:r w:rsidR="00AC5598" w:rsidRPr="00CD5C1B">
        <w:rPr>
          <w:szCs w:val="24"/>
        </w:rPr>
        <w:t>environmental issues</w:t>
      </w:r>
      <w:r w:rsidR="00DF446E" w:rsidRPr="00CD5C1B">
        <w:rPr>
          <w:szCs w:val="24"/>
        </w:rPr>
        <w:t xml:space="preserve"> illustrate society’s rising concerns for the future of humanity and the planet. </w:t>
      </w:r>
      <w:r w:rsidR="00AC5598" w:rsidRPr="00CD5C1B">
        <w:rPr>
          <w:szCs w:val="24"/>
        </w:rPr>
        <w:t>Communication about such issues takes many forms: public debates, government policies, scientific research, film and media, poetry and prose, and classroom education. Such a wide range of communicative mediums demonstrates the truly interdisciplinary nature of research seeking to generate social and environmental change.</w:t>
      </w:r>
      <w:r w:rsidR="00AC5598" w:rsidRPr="00CD5C1B">
        <w:rPr>
          <w:color w:val="auto"/>
          <w:szCs w:val="24"/>
        </w:rPr>
        <w:t xml:space="preserve"> Moreover, i</w:t>
      </w:r>
      <w:r w:rsidR="00AC5598" w:rsidRPr="00CD5C1B">
        <w:rPr>
          <w:szCs w:val="24"/>
        </w:rPr>
        <w:t>f we expand our conceptualization of the environment then we can begin to talk more fluidly across disciplines to understand how multiple environments impact communication practices.</w:t>
      </w:r>
      <w:r w:rsidR="00B2704B">
        <w:rPr>
          <w:szCs w:val="24"/>
        </w:rPr>
        <w:t xml:space="preserve"> </w:t>
      </w:r>
      <w:r w:rsidR="00AC5598" w:rsidRPr="00CD5C1B">
        <w:rPr>
          <w:szCs w:val="24"/>
        </w:rPr>
        <w:t xml:space="preserve"> </w:t>
      </w:r>
    </w:p>
    <w:p w:rsidR="00483B2A" w:rsidRPr="00CD5C1B" w:rsidRDefault="00DF446E">
      <w:pPr>
        <w:spacing w:line="100" w:lineRule="atLeast"/>
      </w:pPr>
      <w:r w:rsidRPr="00CD5C1B">
        <w:rPr>
          <w:rFonts w:eastAsia="Times New Roman"/>
          <w:szCs w:val="24"/>
        </w:rPr>
        <w:t xml:space="preserve">This conference </w:t>
      </w:r>
      <w:r w:rsidR="00AC16FB">
        <w:rPr>
          <w:rFonts w:eastAsia="Times New Roman"/>
          <w:szCs w:val="24"/>
        </w:rPr>
        <w:t>aims</w:t>
      </w:r>
      <w:r w:rsidRPr="00CD5C1B">
        <w:rPr>
          <w:rFonts w:eastAsia="Times New Roman"/>
          <w:szCs w:val="24"/>
        </w:rPr>
        <w:t xml:space="preserve"> to bring together scholars, creative writers, and educators from a broad range of disciplines in order to provide a space to share the myriad ways that humans communicate about an endangered environment and recommend avenues for future research.</w:t>
      </w:r>
      <w:r w:rsidR="00AC5598" w:rsidRPr="00CD5C1B">
        <w:rPr>
          <w:color w:val="auto"/>
          <w:szCs w:val="24"/>
        </w:rPr>
        <w:t xml:space="preserve"> </w:t>
      </w:r>
      <w:r w:rsidR="00AC5598" w:rsidRPr="00CD5C1B">
        <w:rPr>
          <w:rFonts w:eastAsia="Times New Roman"/>
          <w:szCs w:val="24"/>
        </w:rPr>
        <w:t>This conference also seeks to expand the ways in which scholars link discussions about communication and the environment such that the natural world becomes one environment among many which shapes our ideas about communication</w:t>
      </w:r>
      <w:r w:rsidR="008439CA">
        <w:rPr>
          <w:rFonts w:eastAsia="Times New Roman"/>
          <w:szCs w:val="24"/>
        </w:rPr>
        <w:t>.</w:t>
      </w:r>
    </w:p>
    <w:p w:rsidR="00483B2A" w:rsidRPr="00CD5C1B" w:rsidRDefault="002753A2">
      <w:pPr>
        <w:spacing w:line="100" w:lineRule="atLeast"/>
      </w:pPr>
      <w:r w:rsidRPr="00CD5C1B">
        <w:rPr>
          <w:rFonts w:eastAsia="Times New Roman"/>
          <w:szCs w:val="24"/>
        </w:rPr>
        <w:t>As an interdisciplinary conference, we welcome submissions from all relevant fields and disciplines. Abstracts (250-300 words) are invited on a broad range of topics including, but not limited to, the following:</w:t>
      </w:r>
    </w:p>
    <w:p w:rsidR="00755045" w:rsidRPr="00CD5C1B" w:rsidRDefault="00755045" w:rsidP="00755045">
      <w:pPr>
        <w:pStyle w:val="ListParagraph"/>
        <w:numPr>
          <w:ilvl w:val="0"/>
          <w:numId w:val="4"/>
        </w:numPr>
        <w:spacing w:before="28" w:after="28" w:line="100" w:lineRule="atLeast"/>
        <w:rPr>
          <w:rFonts w:eastAsia="Times New Roman"/>
          <w:szCs w:val="24"/>
        </w:rPr>
      </w:pPr>
      <w:r w:rsidRPr="00CD5C1B">
        <w:rPr>
          <w:rFonts w:eastAsia="Times New Roman"/>
          <w:szCs w:val="24"/>
        </w:rPr>
        <w:t>Environment and narrative</w:t>
      </w:r>
    </w:p>
    <w:p w:rsidR="00755045" w:rsidRPr="00CD5C1B" w:rsidRDefault="00755045" w:rsidP="00755045">
      <w:pPr>
        <w:pStyle w:val="ListParagraph"/>
        <w:numPr>
          <w:ilvl w:val="0"/>
          <w:numId w:val="4"/>
        </w:numPr>
        <w:spacing w:before="28" w:after="28" w:line="100" w:lineRule="atLeast"/>
        <w:rPr>
          <w:rFonts w:eastAsia="Times New Roman"/>
          <w:szCs w:val="24"/>
        </w:rPr>
      </w:pPr>
      <w:r w:rsidRPr="00CD5C1B">
        <w:rPr>
          <w:rFonts w:eastAsia="Times New Roman"/>
          <w:szCs w:val="24"/>
        </w:rPr>
        <w:t>“Natural” and “unnatural” narratives</w:t>
      </w:r>
    </w:p>
    <w:p w:rsidR="00755045" w:rsidRPr="00CD5C1B" w:rsidRDefault="00E516BD" w:rsidP="00755045">
      <w:pPr>
        <w:pStyle w:val="ListParagraph"/>
        <w:numPr>
          <w:ilvl w:val="0"/>
          <w:numId w:val="4"/>
        </w:numPr>
        <w:spacing w:before="28" w:after="28" w:line="100" w:lineRule="atLeast"/>
        <w:rPr>
          <w:rFonts w:eastAsia="Times New Roman"/>
          <w:szCs w:val="24"/>
        </w:rPr>
      </w:pPr>
      <w:r>
        <w:rPr>
          <w:rFonts w:eastAsia="Times New Roman"/>
          <w:szCs w:val="24"/>
        </w:rPr>
        <w:t>Animal s</w:t>
      </w:r>
      <w:r w:rsidR="00CD3388" w:rsidRPr="00CD5C1B">
        <w:rPr>
          <w:rFonts w:eastAsia="Times New Roman"/>
          <w:szCs w:val="24"/>
        </w:rPr>
        <w:t>tudies</w:t>
      </w:r>
    </w:p>
    <w:p w:rsidR="00755045" w:rsidRPr="00CD5C1B" w:rsidRDefault="00755045" w:rsidP="00755045">
      <w:pPr>
        <w:pStyle w:val="ListParagraph"/>
        <w:numPr>
          <w:ilvl w:val="0"/>
          <w:numId w:val="4"/>
        </w:numPr>
        <w:spacing w:before="28" w:after="28" w:line="100" w:lineRule="atLeast"/>
        <w:rPr>
          <w:rFonts w:eastAsia="Times New Roman"/>
          <w:szCs w:val="24"/>
        </w:rPr>
      </w:pPr>
      <w:r w:rsidRPr="00CD5C1B">
        <w:rPr>
          <w:rFonts w:eastAsia="Times New Roman"/>
          <w:szCs w:val="24"/>
        </w:rPr>
        <w:t>Role of the environment in identity formation</w:t>
      </w:r>
    </w:p>
    <w:p w:rsidR="00755045" w:rsidRPr="00CD5C1B" w:rsidRDefault="00755045" w:rsidP="00755045">
      <w:pPr>
        <w:pStyle w:val="ListParagraph"/>
        <w:numPr>
          <w:ilvl w:val="0"/>
          <w:numId w:val="4"/>
        </w:numPr>
        <w:spacing w:before="28" w:after="28" w:line="100" w:lineRule="atLeast"/>
        <w:rPr>
          <w:rFonts w:eastAsia="Times New Roman"/>
          <w:szCs w:val="24"/>
        </w:rPr>
      </w:pPr>
      <w:r w:rsidRPr="00CD5C1B">
        <w:rPr>
          <w:rFonts w:eastAsia="Times New Roman"/>
          <w:szCs w:val="24"/>
        </w:rPr>
        <w:t>Influence of cultural environments on communicative practices</w:t>
      </w:r>
    </w:p>
    <w:p w:rsidR="00755045" w:rsidRPr="00CD5C1B" w:rsidRDefault="00DF446E" w:rsidP="00DF446E">
      <w:pPr>
        <w:pStyle w:val="ListParagraph"/>
        <w:numPr>
          <w:ilvl w:val="0"/>
          <w:numId w:val="4"/>
        </w:numPr>
        <w:spacing w:before="28" w:after="28" w:line="100" w:lineRule="atLeast"/>
        <w:rPr>
          <w:rFonts w:eastAsia="Times New Roman"/>
          <w:szCs w:val="24"/>
        </w:rPr>
      </w:pPr>
      <w:r w:rsidRPr="00CD5C1B">
        <w:rPr>
          <w:rFonts w:eastAsia="Times New Roman"/>
          <w:szCs w:val="24"/>
        </w:rPr>
        <w:t xml:space="preserve">Dissemination of </w:t>
      </w:r>
      <w:r w:rsidR="00EC170C" w:rsidRPr="00CD5C1B">
        <w:rPr>
          <w:rFonts w:eastAsia="Times New Roman"/>
          <w:szCs w:val="24"/>
        </w:rPr>
        <w:t xml:space="preserve">environmental </w:t>
      </w:r>
      <w:r w:rsidRPr="00CD5C1B">
        <w:rPr>
          <w:rFonts w:eastAsia="Times New Roman"/>
          <w:szCs w:val="24"/>
        </w:rPr>
        <w:t>narratives</w:t>
      </w:r>
    </w:p>
    <w:p w:rsidR="00755045" w:rsidRPr="00CD5C1B" w:rsidRDefault="00755045" w:rsidP="00755045">
      <w:pPr>
        <w:pStyle w:val="ListParagraph"/>
        <w:numPr>
          <w:ilvl w:val="0"/>
          <w:numId w:val="4"/>
        </w:numPr>
        <w:spacing w:before="28" w:after="28" w:line="100" w:lineRule="atLeast"/>
        <w:rPr>
          <w:rFonts w:eastAsia="Times New Roman"/>
          <w:szCs w:val="24"/>
        </w:rPr>
      </w:pPr>
      <w:proofErr w:type="spellStart"/>
      <w:r w:rsidRPr="00CD5C1B">
        <w:rPr>
          <w:rFonts w:eastAsia="Times New Roman"/>
          <w:szCs w:val="24"/>
        </w:rPr>
        <w:t>Ecodiscourses</w:t>
      </w:r>
      <w:proofErr w:type="spellEnd"/>
      <w:r w:rsidRPr="00CD5C1B">
        <w:rPr>
          <w:rFonts w:eastAsia="Times New Roman"/>
          <w:szCs w:val="24"/>
        </w:rPr>
        <w:t xml:space="preserve">, such as ecocriticism, ecofeminism, ecotourism </w:t>
      </w:r>
      <w:proofErr w:type="spellStart"/>
      <w:r w:rsidRPr="00CD5C1B">
        <w:rPr>
          <w:rFonts w:eastAsia="Times New Roman"/>
          <w:szCs w:val="24"/>
        </w:rPr>
        <w:t>ecomusicology</w:t>
      </w:r>
      <w:proofErr w:type="spellEnd"/>
      <w:r w:rsidRPr="00CD5C1B">
        <w:rPr>
          <w:rFonts w:eastAsia="Times New Roman"/>
          <w:szCs w:val="24"/>
        </w:rPr>
        <w:t xml:space="preserve">, </w:t>
      </w:r>
      <w:proofErr w:type="spellStart"/>
      <w:r w:rsidRPr="00CD5C1B">
        <w:rPr>
          <w:rFonts w:eastAsia="Times New Roman"/>
          <w:szCs w:val="24"/>
        </w:rPr>
        <w:t>ecocomposition</w:t>
      </w:r>
      <w:proofErr w:type="spellEnd"/>
      <w:r w:rsidRPr="00CD5C1B">
        <w:rPr>
          <w:rFonts w:eastAsia="Times New Roman"/>
          <w:szCs w:val="24"/>
        </w:rPr>
        <w:t xml:space="preserve"> </w:t>
      </w:r>
    </w:p>
    <w:p w:rsidR="00755045" w:rsidRPr="00CD5C1B" w:rsidRDefault="00755045" w:rsidP="00755045">
      <w:pPr>
        <w:pStyle w:val="ListParagraph"/>
        <w:numPr>
          <w:ilvl w:val="0"/>
          <w:numId w:val="4"/>
        </w:numPr>
        <w:spacing w:before="28" w:after="28" w:line="100" w:lineRule="atLeast"/>
        <w:rPr>
          <w:rFonts w:eastAsia="Times New Roman"/>
          <w:szCs w:val="24"/>
        </w:rPr>
      </w:pPr>
      <w:r w:rsidRPr="00CD5C1B">
        <w:rPr>
          <w:rFonts w:eastAsia="Times New Roman"/>
          <w:szCs w:val="24"/>
        </w:rPr>
        <w:t>Regional narratives and the environment</w:t>
      </w:r>
    </w:p>
    <w:p w:rsidR="00CD3388" w:rsidRPr="00CD5C1B" w:rsidRDefault="00CD3388" w:rsidP="00CD3388">
      <w:pPr>
        <w:pStyle w:val="ListParagraph"/>
        <w:numPr>
          <w:ilvl w:val="0"/>
          <w:numId w:val="4"/>
        </w:numPr>
        <w:spacing w:before="28" w:after="28" w:line="100" w:lineRule="atLeast"/>
        <w:rPr>
          <w:rFonts w:eastAsia="Times New Roman"/>
          <w:szCs w:val="24"/>
        </w:rPr>
      </w:pPr>
      <w:r w:rsidRPr="00CD5C1B">
        <w:rPr>
          <w:rFonts w:eastAsia="Times New Roman"/>
          <w:szCs w:val="24"/>
        </w:rPr>
        <w:t>Race and the environment</w:t>
      </w:r>
    </w:p>
    <w:p w:rsidR="00CD3388" w:rsidRPr="00CD5C1B" w:rsidRDefault="00CD3388" w:rsidP="00CD3388">
      <w:pPr>
        <w:pStyle w:val="ListParagraph"/>
        <w:numPr>
          <w:ilvl w:val="0"/>
          <w:numId w:val="4"/>
        </w:numPr>
        <w:spacing w:before="28" w:after="28" w:line="100" w:lineRule="atLeast"/>
        <w:rPr>
          <w:rFonts w:eastAsia="Times New Roman"/>
          <w:szCs w:val="24"/>
        </w:rPr>
      </w:pPr>
      <w:r w:rsidRPr="00CD5C1B">
        <w:rPr>
          <w:rFonts w:eastAsia="Times New Roman"/>
          <w:szCs w:val="24"/>
        </w:rPr>
        <w:t>Environmental law</w:t>
      </w:r>
    </w:p>
    <w:p w:rsidR="00CD3388" w:rsidRPr="00CD5C1B" w:rsidRDefault="00CD3388" w:rsidP="00CD3388">
      <w:pPr>
        <w:pStyle w:val="ListParagraph"/>
        <w:numPr>
          <w:ilvl w:val="0"/>
          <w:numId w:val="4"/>
        </w:numPr>
        <w:spacing w:before="28" w:after="28" w:line="100" w:lineRule="atLeast"/>
        <w:rPr>
          <w:rFonts w:eastAsia="Times New Roman"/>
          <w:szCs w:val="24"/>
        </w:rPr>
      </w:pPr>
      <w:r w:rsidRPr="00CD5C1B">
        <w:rPr>
          <w:rFonts w:eastAsia="Times New Roman"/>
          <w:szCs w:val="24"/>
        </w:rPr>
        <w:t>Food justice and food sustainability</w:t>
      </w:r>
    </w:p>
    <w:p w:rsidR="00AC16FB" w:rsidRDefault="00DF446E" w:rsidP="00AC16FB">
      <w:pPr>
        <w:pStyle w:val="ListParagraph"/>
        <w:numPr>
          <w:ilvl w:val="0"/>
          <w:numId w:val="4"/>
        </w:numPr>
        <w:spacing w:before="28" w:after="28" w:line="100" w:lineRule="atLeast"/>
        <w:rPr>
          <w:rFonts w:eastAsia="Times New Roman"/>
          <w:szCs w:val="24"/>
        </w:rPr>
      </w:pPr>
      <w:r w:rsidRPr="00CD5C1B">
        <w:rPr>
          <w:rFonts w:eastAsia="Times New Roman"/>
          <w:szCs w:val="24"/>
        </w:rPr>
        <w:t>Contemporary environmental issues</w:t>
      </w:r>
      <w:r w:rsidR="00507408">
        <w:rPr>
          <w:rFonts w:eastAsia="Times New Roman"/>
          <w:szCs w:val="24"/>
        </w:rPr>
        <w:t>, to include but not limited to</w:t>
      </w:r>
      <w:r w:rsidR="00CD3388" w:rsidRPr="00CD5C1B">
        <w:rPr>
          <w:rFonts w:eastAsia="Times New Roman"/>
          <w:szCs w:val="24"/>
        </w:rPr>
        <w:t xml:space="preserve"> </w:t>
      </w:r>
      <w:r w:rsidR="00507408">
        <w:rPr>
          <w:rFonts w:eastAsia="Times New Roman"/>
          <w:szCs w:val="24"/>
        </w:rPr>
        <w:t xml:space="preserve">climate change, </w:t>
      </w:r>
      <w:r w:rsidR="00CD3388" w:rsidRPr="00CD5C1B">
        <w:rPr>
          <w:rFonts w:eastAsia="Times New Roman"/>
          <w:szCs w:val="24"/>
        </w:rPr>
        <w:t>h</w:t>
      </w:r>
      <w:r w:rsidRPr="00CD5C1B">
        <w:rPr>
          <w:rFonts w:eastAsia="Times New Roman"/>
          <w:szCs w:val="24"/>
        </w:rPr>
        <w:t>ydraulic fracturing</w:t>
      </w:r>
      <w:r w:rsidR="00CD3388" w:rsidRPr="00CD5C1B">
        <w:rPr>
          <w:rFonts w:eastAsia="Times New Roman"/>
          <w:szCs w:val="24"/>
        </w:rPr>
        <w:t>, m</w:t>
      </w:r>
      <w:r w:rsidRPr="00CD5C1B">
        <w:rPr>
          <w:rFonts w:eastAsia="Times New Roman"/>
          <w:szCs w:val="24"/>
        </w:rPr>
        <w:t>ountaintop removal</w:t>
      </w:r>
      <w:r w:rsidR="00CD3388" w:rsidRPr="00CD5C1B">
        <w:rPr>
          <w:rFonts w:eastAsia="Times New Roman"/>
          <w:szCs w:val="24"/>
        </w:rPr>
        <w:t>, K</w:t>
      </w:r>
      <w:r w:rsidRPr="00CD5C1B">
        <w:rPr>
          <w:rFonts w:eastAsia="Times New Roman"/>
          <w:szCs w:val="24"/>
        </w:rPr>
        <w:t>eystone XL</w:t>
      </w:r>
    </w:p>
    <w:p w:rsidR="00AC16FB" w:rsidRPr="00AC16FB" w:rsidRDefault="00AC16FB" w:rsidP="00AC16FB">
      <w:pPr>
        <w:pStyle w:val="ListParagraph"/>
        <w:numPr>
          <w:ilvl w:val="0"/>
          <w:numId w:val="4"/>
        </w:numPr>
        <w:spacing w:before="28" w:after="28" w:line="100" w:lineRule="atLeast"/>
        <w:rPr>
          <w:rFonts w:eastAsia="Times New Roman"/>
          <w:szCs w:val="24"/>
        </w:rPr>
      </w:pPr>
      <w:r w:rsidRPr="00AC16FB">
        <w:rPr>
          <w:rFonts w:eastAsia="Times New Roman"/>
          <w:szCs w:val="24"/>
        </w:rPr>
        <w:t>Creative submissions of all genres and media will also be considered</w:t>
      </w:r>
    </w:p>
    <w:p w:rsidR="00CD3388" w:rsidRPr="00CD5C1B" w:rsidRDefault="00140519" w:rsidP="00140519">
      <w:pPr>
        <w:tabs>
          <w:tab w:val="clear" w:pos="720"/>
          <w:tab w:val="left" w:pos="1473"/>
        </w:tabs>
        <w:spacing w:before="28" w:after="28" w:line="100" w:lineRule="atLeast"/>
        <w:rPr>
          <w:rFonts w:eastAsia="Times New Roman"/>
          <w:szCs w:val="24"/>
        </w:rPr>
      </w:pPr>
      <w:r>
        <w:rPr>
          <w:rFonts w:eastAsia="Times New Roman"/>
          <w:szCs w:val="24"/>
        </w:rPr>
        <w:lastRenderedPageBreak/>
        <w:tab/>
      </w:r>
    </w:p>
    <w:p w:rsidR="00483B2A" w:rsidRPr="00CD5C1B" w:rsidRDefault="002753A2">
      <w:pPr>
        <w:spacing w:before="28" w:after="28" w:line="100" w:lineRule="atLeast"/>
        <w:rPr>
          <w:rFonts w:eastAsia="Times New Roman"/>
          <w:szCs w:val="24"/>
        </w:rPr>
      </w:pPr>
      <w:r w:rsidRPr="00CD5C1B">
        <w:rPr>
          <w:rFonts w:eastAsia="Times New Roman"/>
          <w:szCs w:val="24"/>
        </w:rPr>
        <w:t>Individual papers or panel proposals will be considered. This interdisciplinary conference allows for many more spaces for discussion than described. Please conside</w:t>
      </w:r>
      <w:r w:rsidR="009E14A9">
        <w:rPr>
          <w:rFonts w:eastAsia="Times New Roman"/>
          <w:szCs w:val="24"/>
        </w:rPr>
        <w:t>r submitting proposals which ma</w:t>
      </w:r>
      <w:bookmarkStart w:id="0" w:name="_GoBack"/>
      <w:bookmarkEnd w:id="0"/>
      <w:r w:rsidRPr="00CD5C1B">
        <w:rPr>
          <w:rFonts w:eastAsia="Times New Roman"/>
          <w:szCs w:val="24"/>
        </w:rPr>
        <w:t>y not fit neatly into the ones listed above.</w:t>
      </w:r>
    </w:p>
    <w:p w:rsidR="00CD3388" w:rsidRPr="00CD5C1B" w:rsidRDefault="00CD3388">
      <w:pPr>
        <w:spacing w:before="28" w:after="28" w:line="100" w:lineRule="atLeast"/>
      </w:pPr>
    </w:p>
    <w:p w:rsidR="00483B2A" w:rsidRPr="00CD5C1B" w:rsidRDefault="002753A2">
      <w:pPr>
        <w:spacing w:before="28" w:after="28" w:line="100" w:lineRule="atLeast"/>
      </w:pPr>
      <w:r w:rsidRPr="00CD5C1B">
        <w:rPr>
          <w:rFonts w:eastAsia="Times New Roman"/>
          <w:szCs w:val="24"/>
        </w:rPr>
        <w:t xml:space="preserve">Please submit abstracts to </w:t>
      </w:r>
      <w:hyperlink r:id="rId6" w:history="1">
        <w:r w:rsidR="00CD5C1B" w:rsidRPr="00CD5C1B">
          <w:rPr>
            <w:rStyle w:val="Hyperlink"/>
            <w:rFonts w:eastAsia="Times New Roman"/>
            <w:szCs w:val="24"/>
          </w:rPr>
          <w:t>utnexus2014@gmail.com</w:t>
        </w:r>
      </w:hyperlink>
      <w:r w:rsidR="00CD5C1B" w:rsidRPr="00CD5C1B">
        <w:rPr>
          <w:rFonts w:eastAsia="Times New Roman"/>
          <w:szCs w:val="24"/>
        </w:rPr>
        <w:t xml:space="preserve"> by December 31, 2013</w:t>
      </w:r>
      <w:r w:rsidRPr="00CD5C1B">
        <w:rPr>
          <w:rFonts w:eastAsia="Times New Roman"/>
          <w:szCs w:val="24"/>
        </w:rPr>
        <w:t>.</w:t>
      </w:r>
    </w:p>
    <w:sectPr w:rsidR="00483B2A" w:rsidRPr="00CD5C1B">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D45"/>
    <w:multiLevelType w:val="multilevel"/>
    <w:tmpl w:val="429854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36D426A5"/>
    <w:multiLevelType w:val="hybridMultilevel"/>
    <w:tmpl w:val="7D12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02854"/>
    <w:multiLevelType w:val="multilevel"/>
    <w:tmpl w:val="B178EF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ED529F8"/>
    <w:multiLevelType w:val="hybridMultilevel"/>
    <w:tmpl w:val="BA94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2A"/>
    <w:rsid w:val="00140519"/>
    <w:rsid w:val="002753A2"/>
    <w:rsid w:val="002C5F7C"/>
    <w:rsid w:val="00306596"/>
    <w:rsid w:val="00432C44"/>
    <w:rsid w:val="00483B2A"/>
    <w:rsid w:val="00507408"/>
    <w:rsid w:val="00532E2B"/>
    <w:rsid w:val="00755045"/>
    <w:rsid w:val="008439CA"/>
    <w:rsid w:val="00890BEA"/>
    <w:rsid w:val="00901FCD"/>
    <w:rsid w:val="009720B6"/>
    <w:rsid w:val="009E14A9"/>
    <w:rsid w:val="00A64C1E"/>
    <w:rsid w:val="00AC16FB"/>
    <w:rsid w:val="00AC5598"/>
    <w:rsid w:val="00AE6552"/>
    <w:rsid w:val="00B2704B"/>
    <w:rsid w:val="00CD3388"/>
    <w:rsid w:val="00CD5C1B"/>
    <w:rsid w:val="00DF446E"/>
    <w:rsid w:val="00E516BD"/>
    <w:rsid w:val="00E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line="480" w:lineRule="auto"/>
    </w:pPr>
    <w:rPr>
      <w:rFonts w:ascii="Garamond" w:eastAsia="Calibri" w:hAnsi="Garamond"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character" w:customStyle="1" w:styleId="ListLabel1">
    <w:name w:val="ListLabel 1"/>
    <w:rPr>
      <w:sz w:val="20"/>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paragraph" w:customStyle="1" w:styleId="Heading">
    <w:name w:val="Heading"/>
    <w:basedOn w:val="Normal"/>
    <w:next w:val="Textbody"/>
    <w:pPr>
      <w:keepNext/>
      <w:spacing w:before="240" w:after="120"/>
    </w:pPr>
    <w:rPr>
      <w:rFonts w:ascii="Arial" w:eastAsia="Lucida Sans Unicode"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DF446E"/>
    <w:pPr>
      <w:ind w:left="720"/>
      <w:contextualSpacing/>
    </w:pPr>
  </w:style>
  <w:style w:type="character" w:styleId="Hyperlink">
    <w:name w:val="Hyperlink"/>
    <w:basedOn w:val="DefaultParagraphFont"/>
    <w:uiPriority w:val="99"/>
    <w:unhideWhenUsed/>
    <w:rsid w:val="00CD33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line="480" w:lineRule="auto"/>
    </w:pPr>
    <w:rPr>
      <w:rFonts w:ascii="Garamond" w:eastAsia="Calibri" w:hAnsi="Garamond"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character" w:customStyle="1" w:styleId="ListLabel1">
    <w:name w:val="ListLabel 1"/>
    <w:rPr>
      <w:sz w:val="20"/>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paragraph" w:customStyle="1" w:styleId="Heading">
    <w:name w:val="Heading"/>
    <w:basedOn w:val="Normal"/>
    <w:next w:val="Textbody"/>
    <w:pPr>
      <w:keepNext/>
      <w:spacing w:before="240" w:after="120"/>
    </w:pPr>
    <w:rPr>
      <w:rFonts w:ascii="Arial" w:eastAsia="Lucida Sans Unicode"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DF446E"/>
    <w:pPr>
      <w:ind w:left="720"/>
      <w:contextualSpacing/>
    </w:pPr>
  </w:style>
  <w:style w:type="character" w:styleId="Hyperlink">
    <w:name w:val="Hyperlink"/>
    <w:basedOn w:val="DefaultParagraphFont"/>
    <w:uiPriority w:val="99"/>
    <w:unhideWhenUsed/>
    <w:rsid w:val="00CD3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nexus20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Bushra Malaibari</dc:creator>
  <cp:lastModifiedBy>Jacqueline Nicole Kerr</cp:lastModifiedBy>
  <cp:revision>7</cp:revision>
  <cp:lastPrinted>2013-09-29T23:45:00Z</cp:lastPrinted>
  <dcterms:created xsi:type="dcterms:W3CDTF">2013-09-27T11:32:00Z</dcterms:created>
  <dcterms:modified xsi:type="dcterms:W3CDTF">2013-09-30T00:07:00Z</dcterms:modified>
</cp:coreProperties>
</file>